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5"/>
        <w:gridCol w:w="351"/>
      </w:tblGrid>
      <w:tr w:rsidR="00000000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012D97">
            <w:pPr>
              <w:bidi/>
              <w:spacing w:after="240"/>
              <w:textAlignment w:val="top"/>
              <w:rPr>
                <w:rFonts w:ascii="Arial" w:eastAsia="Times New Roman" w:hAnsi="Arial" w:cs="Arial"/>
                <w:rtl/>
              </w:rPr>
            </w:pPr>
            <w:r>
              <w:rPr>
                <w:rStyle w:val="h"/>
                <w:rFonts w:ascii="Arial" w:eastAsia="Times New Roman" w:hAnsi="Arial" w:cs="Arial"/>
                <w:rtl/>
              </w:rPr>
              <w:t>בש"א (ראשון-לציון) 342/08 - מישל אזולאי נ' אמירי גן יבנה בניה ויזמות בע"</w:t>
            </w:r>
            <w:r>
              <w:rPr>
                <w:rStyle w:val="h"/>
                <w:rFonts w:ascii="Arial" w:eastAsia="Times New Roman" w:hAnsi="Arial" w:cs="Arial"/>
                <w:rtl/>
              </w:rPr>
              <w:t>מ</w:t>
            </w:r>
            <w:r>
              <w:rPr>
                <w:rStyle w:val="f14"/>
                <w:rFonts w:ascii="Arial" w:eastAsia="Times New Roman" w:hAnsi="Arial" w:cs="Arial"/>
                <w:rtl/>
              </w:rPr>
              <w:t>שלום ראשון-לציון</w:t>
            </w:r>
          </w:p>
          <w:p w:rsidR="00000000" w:rsidRDefault="00012D97">
            <w:pPr>
              <w:pStyle w:val="f40"/>
              <w:bidi/>
              <w:jc w:val="right"/>
              <w:textAlignment w:val="top"/>
              <w:divId w:val="1849782598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בש"א (ראשון-לציון) 342/08</w:t>
            </w:r>
          </w:p>
          <w:p w:rsidR="00000000" w:rsidRDefault="00012D97">
            <w:pPr>
              <w:pStyle w:val="f40"/>
              <w:bidi/>
              <w:jc w:val="right"/>
              <w:textAlignment w:val="top"/>
              <w:divId w:val="1849782598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ת"א (ראשון-לציון) 5030/07</w:t>
            </w:r>
          </w:p>
          <w:p w:rsidR="00000000" w:rsidRDefault="00012D97">
            <w:pPr>
              <w:pStyle w:val="f2"/>
              <w:bidi/>
              <w:textAlignment w:val="top"/>
              <w:divId w:val="1849782598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מישל אזולאי</w:t>
            </w:r>
          </w:p>
          <w:p w:rsidR="00000000" w:rsidRDefault="00012D97">
            <w:pPr>
              <w:pStyle w:val="f2n"/>
              <w:bidi/>
              <w:textAlignment w:val="top"/>
              <w:divId w:val="1849782598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נ ג ד</w:t>
            </w:r>
          </w:p>
          <w:p w:rsidR="00000000" w:rsidRDefault="00012D97">
            <w:pPr>
              <w:pStyle w:val="f3"/>
              <w:bidi/>
              <w:textAlignment w:val="top"/>
              <w:divId w:val="1849782598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אמירי גן יבנה בניה ויזמות בע"מ</w:t>
            </w:r>
          </w:p>
          <w:p w:rsidR="00000000" w:rsidRDefault="00012D97">
            <w:pPr>
              <w:pStyle w:val="f4"/>
              <w:bidi/>
              <w:textAlignment w:val="top"/>
              <w:divId w:val="1849782598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 </w:t>
            </w:r>
          </w:p>
          <w:p w:rsidR="00000000" w:rsidRDefault="00012D97">
            <w:pPr>
              <w:pStyle w:val="f4"/>
              <w:bidi/>
              <w:textAlignment w:val="top"/>
              <w:divId w:val="1849782598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בית משפט השלום ראשון-לציון</w:t>
            </w:r>
          </w:p>
          <w:p w:rsidR="00000000" w:rsidRDefault="00012D97">
            <w:pPr>
              <w:pStyle w:val="f5"/>
              <w:textAlignment w:val="top"/>
              <w:divId w:val="1849782598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[29.07.2008]</w:t>
            </w:r>
          </w:p>
          <w:p w:rsidR="00000000" w:rsidRDefault="00012D97">
            <w:pPr>
              <w:pStyle w:val="f41"/>
              <w:bidi/>
              <w:textAlignment w:val="top"/>
              <w:divId w:val="1849782598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 </w:t>
            </w:r>
          </w:p>
          <w:p w:rsidR="00000000" w:rsidRDefault="00012D97">
            <w:pPr>
              <w:pStyle w:val="f41"/>
              <w:bidi/>
              <w:textAlignment w:val="top"/>
              <w:divId w:val="1849782598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כב' השופט יחזקאל</w:t>
            </w:r>
            <w:r>
              <w:rPr>
                <w:rFonts w:ascii="Arial" w:hAnsi="Arial" w:hint="cs"/>
                <w:rtl/>
              </w:rPr>
              <w:t xml:space="preserve"> קינר - סגן נשיא </w:t>
            </w:r>
          </w:p>
          <w:p w:rsidR="00000000" w:rsidRDefault="00012D97">
            <w:pPr>
              <w:pStyle w:val="f42"/>
              <w:bidi/>
              <w:textAlignment w:val="top"/>
              <w:divId w:val="1849782598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 </w:t>
            </w:r>
          </w:p>
          <w:p w:rsidR="00000000" w:rsidRDefault="00012D97">
            <w:pPr>
              <w:pStyle w:val="f42"/>
              <w:bidi/>
              <w:textAlignment w:val="top"/>
              <w:divId w:val="1849782598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בשם המבקש – עו"ד אמיתי אביעד</w:t>
            </w:r>
          </w:p>
          <w:p w:rsidR="00000000" w:rsidRDefault="00012D97">
            <w:pPr>
              <w:pStyle w:val="f42"/>
              <w:bidi/>
              <w:textAlignment w:val="top"/>
              <w:divId w:val="1849782598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בשם המשיבה – עו"ד אריה בן חמו</w:t>
            </w:r>
          </w:p>
          <w:p w:rsidR="00000000" w:rsidRDefault="00012D97">
            <w:pPr>
              <w:bidi/>
              <w:spacing w:before="100" w:beforeAutospacing="1" w:after="100" w:afterAutospacing="1"/>
              <w:textAlignment w:val="top"/>
              <w:divId w:val="1849782598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 </w:t>
            </w:r>
          </w:p>
          <w:p w:rsidR="00000000" w:rsidRDefault="00012D97">
            <w:pPr>
              <w:pStyle w:val="f13h"/>
              <w:bidi/>
              <w:textAlignment w:val="top"/>
              <w:divId w:val="1849782598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החלטה</w:t>
            </w:r>
          </w:p>
          <w:p w:rsidR="00000000" w:rsidRDefault="00012D97">
            <w:pPr>
              <w:pStyle w:val="f13psakdin0"/>
              <w:bidi/>
              <w:textAlignment w:val="top"/>
              <w:divId w:val="1849782598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012D97">
            <w:pPr>
              <w:pStyle w:val="f13psakdin-no0"/>
              <w:textAlignment w:val="top"/>
              <w:divId w:val="1849782598"/>
              <w:rPr>
                <w:rtl/>
              </w:rPr>
            </w:pPr>
            <w:r>
              <w:rPr>
                <w:rtl/>
              </w:rPr>
              <w:t xml:space="preserve">1.    בין הצדדים נחתם הסכם (להלן: "הסכם הבניה") לפיו התחייבה התובעת (להלן: </w:t>
            </w:r>
            <w:r>
              <w:rPr>
                <w:rtl/>
              </w:rPr>
              <w:t>"</w:t>
            </w:r>
            <w:r>
              <w:rPr>
                <w:rtl/>
              </w:rPr>
              <w:t>הקבל</w:t>
            </w:r>
            <w:r>
              <w:rPr>
                <w:rtl/>
              </w:rPr>
              <w:t>ן</w:t>
            </w:r>
            <w:r>
              <w:rPr>
                <w:rtl/>
              </w:rPr>
              <w:t>") לבנות בית (להלן: "הבית") לנתבע (להלן: "המזמין") על מגרש של המזמין (להלן: "המגרש") ת</w:t>
            </w:r>
            <w:r>
              <w:rPr>
                <w:rtl/>
              </w:rPr>
              <w:t>מורת סכום שהוסכם ביניהם ("הבית" ו"המגרש" ייקראו להלן: "הנכס").</w:t>
            </w:r>
          </w:p>
          <w:p w:rsidR="00000000" w:rsidRDefault="00012D97">
            <w:pPr>
              <w:pStyle w:val="f13psakdin-no0"/>
              <w:textAlignment w:val="top"/>
              <w:divId w:val="1849782598"/>
              <w:rPr>
                <w:rtl/>
              </w:rPr>
            </w:pPr>
            <w:r>
              <w:rPr>
                <w:rtl/>
              </w:rPr>
              <w:t>2.    בתביעתו, שהוגשה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בסדר די</w:t>
            </w:r>
            <w:r>
              <w:rPr>
                <w:rtl/>
              </w:rPr>
              <w:t>ן</w:t>
            </w:r>
            <w:r>
              <w:rPr>
                <w:rtl/>
              </w:rPr>
              <w:t xml:space="preserve"> מקוצ</w:t>
            </w:r>
            <w:r>
              <w:rPr>
                <w:rtl/>
              </w:rPr>
              <w:t>ר</w:t>
            </w:r>
            <w:r>
              <w:rPr>
                <w:rtl/>
              </w:rPr>
              <w:t>, טען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הקבל</w:t>
            </w:r>
            <w:r>
              <w:rPr>
                <w:rtl/>
              </w:rPr>
              <w:t>ן</w:t>
            </w:r>
            <w:r>
              <w:rPr>
                <w:rtl/>
              </w:rPr>
              <w:t xml:space="preserve"> כי למרות שהבית נבנה על ידו, לא שילם המזמין את התמורה עבור בניית הבית וגם לא עבור עבודות נוספות, ונותר חייב לו סך של כ-871,000 ₪.</w:t>
            </w:r>
          </w:p>
          <w:p w:rsidR="00000000" w:rsidRDefault="00012D97">
            <w:pPr>
              <w:pStyle w:val="f13psakdin-no0"/>
              <w:textAlignment w:val="top"/>
              <w:divId w:val="1849782598"/>
              <w:rPr>
                <w:rtl/>
              </w:rPr>
            </w:pPr>
            <w:r>
              <w:rPr>
                <w:rtl/>
              </w:rPr>
              <w:t>3.    המזמין הגי</w:t>
            </w:r>
            <w:r>
              <w:rPr>
                <w:rtl/>
              </w:rPr>
              <w:t>ש בקשה (בש"א 342/08) ובה עתר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לעיכוב ההלי</w:t>
            </w:r>
            <w:r>
              <w:rPr>
                <w:rtl/>
              </w:rPr>
              <w:t>כ</w:t>
            </w:r>
            <w:r>
              <w:rPr>
                <w:rtl/>
              </w:rPr>
              <w:t>י</w:t>
            </w:r>
            <w:r>
              <w:rPr>
                <w:rtl/>
              </w:rPr>
              <w:t>ם</w:t>
            </w:r>
            <w:r>
              <w:rPr>
                <w:rtl/>
              </w:rPr>
              <w:t xml:space="preserve"> עקב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הסכם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בור</w:t>
            </w:r>
            <w:r>
              <w:rPr>
                <w:rtl/>
              </w:rPr>
              <w:t>ר</w:t>
            </w:r>
            <w:r>
              <w:rPr>
                <w:rtl/>
              </w:rPr>
              <w:t>ו</w:t>
            </w:r>
            <w:r>
              <w:rPr>
                <w:rtl/>
              </w:rPr>
              <w:t>ת</w:t>
            </w:r>
            <w:r>
              <w:rPr>
                <w:rtl/>
              </w:rPr>
              <w:t xml:space="preserve"> הקיים בין הצדדים במסגרת הסכם הבניה.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הקבל</w:t>
            </w:r>
            <w:r>
              <w:rPr>
                <w:rtl/>
              </w:rPr>
              <w:t>ן</w:t>
            </w:r>
            <w:r>
              <w:rPr>
                <w:rtl/>
              </w:rPr>
              <w:t xml:space="preserve"> התנגד לבקשה זו.</w:t>
            </w:r>
          </w:p>
          <w:p w:rsidR="00000000" w:rsidRDefault="00012D97">
            <w:pPr>
              <w:pStyle w:val="f13psakdin-no0"/>
              <w:textAlignment w:val="top"/>
              <w:divId w:val="1849782598"/>
              <w:rPr>
                <w:rtl/>
              </w:rPr>
            </w:pPr>
            <w:r>
              <w:rPr>
                <w:rtl/>
              </w:rPr>
              <w:t>4.    ביום 25.5.08 התקיים דיון בבקשה ובמסגרתו הגיעו הצדדים להסכמות הבאות שקיבלו תוקף של החלטה (להלן: "ההסכמות"):</w:t>
            </w:r>
          </w:p>
          <w:p w:rsidR="00000000" w:rsidRDefault="00012D97">
            <w:pPr>
              <w:pStyle w:val="f13psakdin-no2"/>
              <w:textAlignment w:val="top"/>
              <w:divId w:val="1849782598"/>
            </w:pPr>
            <w:r>
              <w:rPr>
                <w:rtl/>
              </w:rPr>
              <w:t>"א.  מבלי שאף אחד מן הצדד</w:t>
            </w:r>
            <w:r>
              <w:rPr>
                <w:rtl/>
              </w:rPr>
              <w:t>ים יודה בטענות משנהו, מוסכם שהנתבע יפקיד עד ליום 18/06/08, בקופת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בית המשפ</w:t>
            </w:r>
            <w:r>
              <w:rPr>
                <w:rtl/>
              </w:rPr>
              <w:t>ט</w:t>
            </w:r>
            <w:r>
              <w:rPr>
                <w:rtl/>
              </w:rPr>
              <w:t xml:space="preserve"> או בנאמנות אצל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הבור</w:t>
            </w:r>
            <w:r>
              <w:rPr>
                <w:rtl/>
              </w:rPr>
              <w:t>ר</w:t>
            </w:r>
            <w:r>
              <w:rPr>
                <w:rtl/>
              </w:rPr>
              <w:t xml:space="preserve"> שימונה לפי ההוראות שלהלן, סך של 600,000 ₪ והעיקול שהוטל במסגרת בש"א 4957/07 יבוטל. ככל שימונה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בור</w:t>
            </w:r>
            <w:r>
              <w:rPr>
                <w:rtl/>
              </w:rPr>
              <w:t>ר</w:t>
            </w:r>
            <w:r>
              <w:rPr>
                <w:rtl/>
              </w:rPr>
              <w:t xml:space="preserve"> עד המועד הנ"ל, יופקד הסכום בנאמנות אצל הבורר, וככל שלא ימונה </w:t>
            </w:r>
            <w:r>
              <w:rPr>
                <w:rtl/>
              </w:rPr>
              <w:t>בורר תוך פרק הזמן הנזכר לעיל, יופקד הסכום בקופת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בית המשפ</w:t>
            </w:r>
            <w:r>
              <w:rPr>
                <w:rtl/>
              </w:rPr>
              <w:t>ט</w:t>
            </w:r>
            <w:r>
              <w:rPr>
                <w:rtl/>
              </w:rPr>
              <w:t>, ויועבר לאחר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מינוי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הבור</w:t>
            </w:r>
            <w:r>
              <w:rPr>
                <w:rtl/>
              </w:rPr>
              <w:t>ר</w:t>
            </w:r>
            <w:r>
              <w:rPr>
                <w:rtl/>
              </w:rPr>
              <w:t>, לידי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הבור</w:t>
            </w:r>
            <w:r>
              <w:rPr>
                <w:rtl/>
              </w:rPr>
              <w:t>ר</w:t>
            </w:r>
            <w:r>
              <w:rPr>
                <w:rtl/>
              </w:rPr>
              <w:t xml:space="preserve"> בנאמנות. </w:t>
            </w:r>
          </w:p>
        </w:tc>
        <w:tc>
          <w:tcPr>
            <w:tcW w:w="22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012D97">
            <w:pPr>
              <w:bidi/>
              <w:textAlignment w:val="top"/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012D97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כן מוסכם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שהבור</w:t>
            </w:r>
            <w:r>
              <w:rPr>
                <w:rFonts w:ascii="Arial" w:hAnsi="Arial" w:cs="Arial"/>
                <w:rtl/>
              </w:rPr>
              <w:t>ר</w:t>
            </w:r>
            <w:r>
              <w:rPr>
                <w:rFonts w:ascii="Arial" w:hAnsi="Arial" w:cs="Arial"/>
                <w:rtl/>
              </w:rPr>
              <w:t xml:space="preserve"> ישקיע את הכספים לפי הוראות הנתבע, כשהשקעה זו תהא השקעה סולידית. 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ב.    כל המחלוקות שבין הצדדים יועברו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לבור</w:t>
            </w:r>
            <w:r>
              <w:rPr>
                <w:rtl/>
              </w:rPr>
              <w:t>ר</w:t>
            </w:r>
            <w:r>
              <w:rPr>
                <w:rtl/>
              </w:rPr>
              <w:t xml:space="preserve">ות בפני בורר שזהותו תיקבע בהסכמה ע"י הצדדים תוך 7 ימים, ואם לא יגיעו להסכמה תוך פרק זמן זה, ימנה בית המשפט בורר לפי פנייה של מי מהצדדים (ללא צורך בתגובה) כאשר מוסכם כי הבורר שימונה יהא מהנדס בעל השכלה משפטית. </w:t>
            </w:r>
          </w:p>
          <w:p w:rsidR="00000000" w:rsidRDefault="00012D97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כמו כן מוסכם על הצדדים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שהבור</w:t>
            </w:r>
            <w:r>
              <w:rPr>
                <w:rFonts w:ascii="Arial" w:hAnsi="Arial" w:cs="Arial"/>
                <w:rtl/>
              </w:rPr>
              <w:t>ר</w:t>
            </w:r>
            <w:r>
              <w:rPr>
                <w:rFonts w:ascii="Arial" w:hAnsi="Arial" w:cs="Arial"/>
                <w:rtl/>
              </w:rPr>
              <w:t>ות תסתיים תוך 6 ח</w:t>
            </w:r>
            <w:r>
              <w:rPr>
                <w:rFonts w:ascii="Arial" w:hAnsi="Arial" w:cs="Arial"/>
                <w:rtl/>
              </w:rPr>
              <w:t>ודשים מיום שימונה הבורר.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ג.     מוסכם כי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פסק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הבור</w:t>
            </w:r>
            <w:r>
              <w:rPr>
                <w:rtl/>
              </w:rPr>
              <w:t>ר</w:t>
            </w:r>
            <w:r>
              <w:rPr>
                <w:rtl/>
              </w:rPr>
              <w:t xml:space="preserve"> יקבע גם הוראות לגבי הכספים המופקדים אצלו בנאמנות במסגרת פסק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הבור</w:t>
            </w:r>
            <w:r>
              <w:rPr>
                <w:rtl/>
              </w:rPr>
              <w:t>ר</w:t>
            </w:r>
            <w:r>
              <w:rPr>
                <w:rtl/>
              </w:rPr>
              <w:t xml:space="preserve">ות. 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ד.    התובעת תדאג למסור עד מחר 26/05/08 את מפתחות הנכס נשוא התביעה לידי ב"כ התובעת על מנת שברגע שתתבקש בדיקת הנכס על ידי שמאי לצורך מתן</w:t>
            </w:r>
            <w:r>
              <w:rPr>
                <w:rtl/>
              </w:rPr>
              <w:t xml:space="preserve"> הלוואה לנתבע על ידי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הבנ</w:t>
            </w:r>
            <w:r>
              <w:rPr>
                <w:rtl/>
              </w:rPr>
              <w:t>ק</w:t>
            </w:r>
            <w:r>
              <w:rPr>
                <w:rtl/>
              </w:rPr>
              <w:t xml:space="preserve"> לצורך הפקדת הסכום שנזכר לעיל, על ידי התובע, יאפשר ב"כ התובעת כניסת השמאי מטעם הבנק לנכס לצורך הערכת שמאות במועד שיתבקש לפי פניית ב"כ הנתבע.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ה.    מוסכם שאם התובעת לא תקיים התחייבותה בסעיף (ד) לעיל, או אם הנתבע לא יפקיד את הסך הנקו</w:t>
            </w:r>
            <w:r>
              <w:rPr>
                <w:rtl/>
              </w:rPr>
              <w:t>ב לעיל במועד, ישלם הצד המפר לצד הנפגע סך של 100,000 ₪ אלא אם כן ההפרה נובעת מנסיבות של כוח עליון או שאי ההפקדה נובעת מבעיה שאיננה תלויה בנתבע, ואשר תאושר על ידי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בית המשפ</w:t>
            </w:r>
            <w:r>
              <w:rPr>
                <w:rtl/>
              </w:rPr>
              <w:t>ט</w:t>
            </w:r>
            <w:r>
              <w:rPr>
                <w:rtl/>
              </w:rPr>
              <w:t xml:space="preserve"> לפי פניה שתבוצע עד ליום 18/06/08. 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ו.     מבקשים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מבית המשפ</w:t>
            </w:r>
            <w:r>
              <w:rPr>
                <w:rtl/>
              </w:rPr>
              <w:t>ט</w:t>
            </w:r>
            <w:r>
              <w:rPr>
                <w:rtl/>
              </w:rPr>
              <w:t xml:space="preserve"> שיתן תוקף של החלטה להסכמו</w:t>
            </w:r>
            <w:r>
              <w:rPr>
                <w:rtl/>
              </w:rPr>
              <w:t xml:space="preserve">ת הצדדים דלעיל". </w:t>
            </w:r>
          </w:p>
          <w:p w:rsidR="00000000" w:rsidRDefault="00012D97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012D97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5.    המזמין לא הפקיד את הסך של 600,000 ₪ אותם התחייב להפקיד לפי סעיף א' להסכמות, וביום 15.6.08 הגיש בקשה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לבית המשפ</w:t>
            </w:r>
            <w:r>
              <w:rPr>
                <w:rtl/>
              </w:rPr>
              <w:t>ט</w:t>
            </w:r>
            <w:r>
              <w:rPr>
                <w:rtl/>
              </w:rPr>
              <w:t xml:space="preserve"> ובה עתר, בהתאם לסעיף ה' להסכמות, לכך שבית המשפט יאשר כי אי ההפקדה נובעת מבעיה שאיננה תלויה במזמין.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 xml:space="preserve">6.    המזמין נימק </w:t>
            </w:r>
            <w:r>
              <w:rPr>
                <w:rtl/>
              </w:rPr>
              <w:t>בקשתו בכך שפנה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לסניפי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בנ</w:t>
            </w:r>
            <w:r>
              <w:rPr>
                <w:rtl/>
              </w:rPr>
              <w:t>ק</w:t>
            </w:r>
            <w:r>
              <w:rPr>
                <w:rtl/>
              </w:rPr>
              <w:t>י</w:t>
            </w:r>
            <w:r>
              <w:rPr>
                <w:rtl/>
              </w:rPr>
              <w:t>ם</w:t>
            </w:r>
            <w:r>
              <w:rPr>
                <w:rtl/>
              </w:rPr>
              <w:t xml:space="preserve"> רבים, אך אף אחד מהם לא היה נכון ליתן לו הלוואה כנגד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שעבוד הנכ</w:t>
            </w:r>
            <w:r>
              <w:rPr>
                <w:rtl/>
              </w:rPr>
              <w:t>ס</w:t>
            </w:r>
            <w:r>
              <w:rPr>
                <w:rtl/>
              </w:rPr>
              <w:t xml:space="preserve"> וכי הצגת ההחלטה שנתנה תוקף של החלטה להסכמות, רק יצרה אנטגוניזם אצל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הבנ</w:t>
            </w:r>
            <w:r>
              <w:rPr>
                <w:rtl/>
              </w:rPr>
              <w:t>ק</w:t>
            </w:r>
            <w:r>
              <w:rPr>
                <w:rtl/>
              </w:rPr>
              <w:t>י</w:t>
            </w:r>
            <w:r>
              <w:rPr>
                <w:rtl/>
              </w:rPr>
              <w:t>ם</w:t>
            </w:r>
            <w:r>
              <w:rPr>
                <w:rtl/>
              </w:rPr>
              <w:t>, הנרתעים מכך שקיים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עיקול על הנכ</w:t>
            </w:r>
            <w:r>
              <w:rPr>
                <w:rtl/>
              </w:rPr>
              <w:t>ס</w:t>
            </w:r>
            <w:r>
              <w:rPr>
                <w:rtl/>
              </w:rPr>
              <w:t xml:space="preserve"> (עיקול שהוטל על ידי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הקבל</w:t>
            </w:r>
            <w:r>
              <w:rPr>
                <w:rtl/>
              </w:rPr>
              <w:t>ן</w:t>
            </w:r>
            <w:r>
              <w:rPr>
                <w:rtl/>
              </w:rPr>
              <w:t>).</w:t>
            </w:r>
          </w:p>
          <w:p w:rsidR="00000000" w:rsidRDefault="00012D97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7.   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הקבל</w:t>
            </w:r>
            <w:r>
              <w:rPr>
                <w:rtl/>
              </w:rPr>
              <w:t>ן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טען כי מדובר בטענות סרק של המזמין, כי הפרוצדורה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בבנ</w:t>
            </w:r>
            <w:r>
              <w:rPr>
                <w:rtl/>
              </w:rPr>
              <w:t>ק</w:t>
            </w:r>
            <w:r>
              <w:rPr>
                <w:rtl/>
              </w:rPr>
              <w:t>י</w:t>
            </w:r>
            <w:r>
              <w:rPr>
                <w:rtl/>
              </w:rPr>
              <w:t>ם</w:t>
            </w:r>
            <w:r>
              <w:rPr>
                <w:rtl/>
              </w:rPr>
              <w:t xml:space="preserve"> שונה מזו שתוארה על ידי המזמין, וכי כל מטרתו של המזמין היא להתחמק מתשלום התמורה שלא שולמה על ידו עד היום.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8.    בדיון שהתקיים ביום 14.7.08 הציג ב"כ המזמין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חוות דע</w:t>
            </w:r>
            <w:r>
              <w:rPr>
                <w:rtl/>
              </w:rPr>
              <w:t>ת</w:t>
            </w:r>
            <w:r>
              <w:rPr>
                <w:rtl/>
              </w:rPr>
              <w:t xml:space="preserve"> שמא</w:t>
            </w:r>
            <w:r>
              <w:rPr>
                <w:rtl/>
              </w:rPr>
              <w:t>י</w:t>
            </w:r>
            <w:r>
              <w:rPr>
                <w:rtl/>
              </w:rPr>
              <w:t xml:space="preserve"> שנשלח לנכס על ידי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בנ</w:t>
            </w:r>
            <w:r>
              <w:rPr>
                <w:rtl/>
              </w:rPr>
              <w:t>ק</w:t>
            </w:r>
            <w:r>
              <w:rPr>
                <w:rtl/>
              </w:rPr>
              <w:t xml:space="preserve"> לאומי, לפיה</w:t>
            </w:r>
            <w:r>
              <w:rPr>
                <w:rtl/>
              </w:rPr>
              <w:t xml:space="preserve"> שווי הנכס לאחר הפחתות בעת מימוש הוא 590,000 ₪, וטען כי נוכח כך ונוכח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משכנת</w:t>
            </w:r>
            <w:r>
              <w:rPr>
                <w:rtl/>
              </w:rPr>
              <w:t>א</w:t>
            </w:r>
            <w:r>
              <w:rPr>
                <w:rtl/>
              </w:rPr>
              <w:t xml:space="preserve"> קודמת הקיימת על הנכס, אין כל סיכוי לקבל הלוואה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מבנ</w:t>
            </w:r>
            <w:r>
              <w:rPr>
                <w:rtl/>
              </w:rPr>
              <w:t>ק</w:t>
            </w:r>
            <w:r>
              <w:rPr>
                <w:rtl/>
              </w:rPr>
              <w:t xml:space="preserve"> המובטחת בשעבוד.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9.    נסיונות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בית המשפ</w:t>
            </w:r>
            <w:r>
              <w:rPr>
                <w:rtl/>
              </w:rPr>
              <w:t>ט</w:t>
            </w:r>
            <w:r>
              <w:rPr>
                <w:rtl/>
              </w:rPr>
              <w:t xml:space="preserve"> להביא את הצדדים להסדר בסיטואציה שנוצרה לא עלו יפה.</w:t>
            </w:r>
          </w:p>
          <w:p w:rsidR="00000000" w:rsidRDefault="00012D97">
            <w:pPr>
              <w:pStyle w:val="f13psakdin-no0"/>
              <w:textAlignment w:val="top"/>
            </w:pPr>
            <w:r>
              <w:rPr>
                <w:rtl/>
              </w:rPr>
              <w:t>10.  השאלה שעל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בית המשפ</w:t>
            </w:r>
            <w:r>
              <w:rPr>
                <w:rtl/>
              </w:rPr>
              <w:t>ט</w:t>
            </w:r>
            <w:r>
              <w:rPr>
                <w:rtl/>
              </w:rPr>
              <w:t xml:space="preserve"> להכריע בה ה</w:t>
            </w:r>
            <w:r>
              <w:rPr>
                <w:rtl/>
              </w:rPr>
              <w:t>יא האם אי קיום התחייבות המזמין להפקיד סך של 600,000 ₪ נובעת מבעיה שאיננה תלויה במזמין, כאשר אם התשובה על כך היא שלילית מחוייב המזמין לשלם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לקבל</w:t>
            </w:r>
            <w:r>
              <w:rPr>
                <w:rtl/>
              </w:rPr>
              <w:t>ן</w:t>
            </w:r>
            <w:r>
              <w:rPr>
                <w:rtl/>
              </w:rPr>
              <w:t xml:space="preserve"> 100,000 ₪ עקב ההפרה.</w:t>
            </w:r>
          </w:p>
        </w:tc>
        <w:tc>
          <w:tcPr>
            <w:tcW w:w="22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012D97">
            <w:pPr>
              <w:bidi/>
              <w:textAlignment w:val="top"/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11.  לאחר ששמעתי את דברי הצדדים ועיינתי בטענותיהם ובמסמכים שהוגשו השתכנעתי כי אי ההפקד</w:t>
            </w:r>
            <w:r>
              <w:rPr>
                <w:rtl/>
              </w:rPr>
              <w:t>ה נובעת מבעיה שאיננה תלויה במזמין.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12.  הסיטואציה בה מצוי הנכס היתה ברורה לצדדים עוד לפני הגעתם להסכמות ביום 25.5.08. מדובר במגרש עליו נבנה עבור המזמין בית על ידי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הקבל</w:t>
            </w:r>
            <w:r>
              <w:rPr>
                <w:rtl/>
              </w:rPr>
              <w:t>ן</w:t>
            </w:r>
            <w:r>
              <w:rPr>
                <w:rtl/>
              </w:rPr>
              <w:t>. על הנכס קיימת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משכנת</w:t>
            </w:r>
            <w:r>
              <w:rPr>
                <w:rtl/>
              </w:rPr>
              <w:t>א</w:t>
            </w:r>
            <w:r>
              <w:rPr>
                <w:rtl/>
              </w:rPr>
              <w:t xml:space="preserve"> בדרגה ראשונה לזכות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בנ</w:t>
            </w:r>
            <w:r>
              <w:rPr>
                <w:rtl/>
              </w:rPr>
              <w:t>ק</w:t>
            </w:r>
            <w:r>
              <w:rPr>
                <w:rtl/>
              </w:rPr>
              <w:t xml:space="preserve"> לאומי בסך 300,000 ₪ מיום 9.11.06 (יצויין כ</w:t>
            </w:r>
            <w:r>
              <w:rPr>
                <w:rtl/>
              </w:rPr>
              <w:t>י לקבלן טענות לגבי רישום משכתנא זו), וכן עיקול שהוטל על ידי המזמין במסגרת התיק הנוכחי.</w:t>
            </w:r>
          </w:p>
          <w:p w:rsidR="00000000" w:rsidRDefault="00012D97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כבר בעת המו"מ בנוגע להסכמות הודיע המזמין באופן ברור כי לא יוכל לגייס את הסך של 600,000 ₪, אלא רק באמצעות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שעבוד הנכ</w:t>
            </w:r>
            <w:r>
              <w:rPr>
                <w:rFonts w:ascii="Arial" w:hAnsi="Arial" w:cs="Arial"/>
                <w:rtl/>
              </w:rPr>
              <w:t>ס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במשכנת</w:t>
            </w:r>
            <w:r>
              <w:rPr>
                <w:rFonts w:ascii="Arial" w:hAnsi="Arial" w:cs="Arial"/>
                <w:rtl/>
              </w:rPr>
              <w:t>א</w:t>
            </w:r>
            <w:r>
              <w:rPr>
                <w:rFonts w:ascii="Arial" w:hAnsi="Arial" w:cs="Arial"/>
                <w:rtl/>
              </w:rPr>
              <w:t xml:space="preserve"> בדרגה שניה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לבנ</w:t>
            </w:r>
            <w:r>
              <w:rPr>
                <w:rFonts w:ascii="Arial" w:hAnsi="Arial" w:cs="Arial"/>
                <w:rtl/>
              </w:rPr>
              <w:t>ק</w:t>
            </w:r>
            <w:r>
              <w:rPr>
                <w:rFonts w:ascii="Arial" w:hAnsi="Arial" w:cs="Arial"/>
                <w:rtl/>
              </w:rPr>
              <w:t xml:space="preserve"> שילווה לו את הסך הנ"ל, ולפיכך</w:t>
            </w:r>
            <w:r>
              <w:rPr>
                <w:rFonts w:ascii="Arial" w:hAnsi="Arial" w:cs="Arial"/>
                <w:rtl/>
              </w:rPr>
              <w:t xml:space="preserve"> נכלל בהסכמות סעיף ד' שנועד לאפשר כניסת שמאי מטעם הבנק לנכס לצורך עריכת שמאות עבור הבנק.</w:t>
            </w:r>
          </w:p>
          <w:p w:rsidR="00000000" w:rsidRDefault="00012D97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לכן, ברור כי ב"בעיה שאיננה תלויה במזמין", הכוונה היתה לבעיה הנוצרת לעניין קבלת הלוואה המובטחת בשעבוד הנכס ואיננה קשורה במזמין.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13.  המזמין תיאר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בתצהיר</w:t>
            </w:r>
            <w:r>
              <w:rPr>
                <w:rtl/>
              </w:rPr>
              <w:t>ו</w:t>
            </w:r>
            <w:r>
              <w:rPr>
                <w:rtl/>
              </w:rPr>
              <w:t xml:space="preserve"> וכן בתצהיר שצור</w:t>
            </w:r>
            <w:r>
              <w:rPr>
                <w:rtl/>
              </w:rPr>
              <w:t>ף לתשובה לתגובה כי פנה ללא פחות מ-11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סניפי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בנ</w:t>
            </w:r>
            <w:r>
              <w:rPr>
                <w:rtl/>
              </w:rPr>
              <w:t>ק</w:t>
            </w:r>
            <w:r>
              <w:rPr>
                <w:rtl/>
              </w:rPr>
              <w:t>י</w:t>
            </w:r>
            <w:r>
              <w:rPr>
                <w:rtl/>
              </w:rPr>
              <w:t>ם</w:t>
            </w:r>
            <w:r>
              <w:rPr>
                <w:rtl/>
              </w:rPr>
              <w:t xml:space="preserve"> (נמסרו פרטיהם), ואת התשובות השליליות שקיבל לפניותיו אלה. אינני סבור כי היה עליו לזמן את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פקידי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הבנ</w:t>
            </w:r>
            <w:r>
              <w:rPr>
                <w:rtl/>
              </w:rPr>
              <w:t>ק</w:t>
            </w:r>
            <w:r>
              <w:rPr>
                <w:rtl/>
              </w:rPr>
              <w:t>ים הנ"ל למתן עדות. אם סבר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הקבל</w:t>
            </w:r>
            <w:r>
              <w:rPr>
                <w:rtl/>
              </w:rPr>
              <w:t>ן</w:t>
            </w:r>
            <w:r>
              <w:rPr>
                <w:rtl/>
              </w:rPr>
              <w:t xml:space="preserve"> כי קיים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בנ</w:t>
            </w:r>
            <w:r>
              <w:rPr>
                <w:rtl/>
              </w:rPr>
              <w:t>ק</w:t>
            </w:r>
            <w:r>
              <w:rPr>
                <w:rtl/>
              </w:rPr>
              <w:t xml:space="preserve"> הנכון ליתן הלוואה בסך 600,000 ₪ כנגד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שעבוד הנכ</w:t>
            </w:r>
            <w:r>
              <w:rPr>
                <w:rtl/>
              </w:rPr>
              <w:t>ס</w:t>
            </w:r>
            <w:r>
              <w:rPr>
                <w:rtl/>
              </w:rPr>
              <w:t>, יכול היה להביא ר</w:t>
            </w:r>
            <w:r>
              <w:rPr>
                <w:rtl/>
              </w:rPr>
              <w:t>איות בעניין זה.</w:t>
            </w:r>
          </w:p>
          <w:p w:rsidR="00000000" w:rsidRDefault="00012D97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אמנם, אינני סבור כי נושא העיקול הקיים אמור להוות מכשול בלתי עביר מבחינת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הבנ</w:t>
            </w:r>
            <w:r>
              <w:rPr>
                <w:rFonts w:ascii="Arial" w:hAnsi="Arial" w:cs="Arial"/>
                <w:rtl/>
              </w:rPr>
              <w:t>ק</w:t>
            </w:r>
            <w:r>
              <w:rPr>
                <w:rFonts w:ascii="Arial" w:hAnsi="Arial" w:cs="Arial"/>
                <w:rtl/>
              </w:rPr>
              <w:t xml:space="preserve"> המתבקש ליתן את ההלוואה, שכן ההסכמה היתה שהעיקול המוטל על הנכס יבוטל. אם ההסכמה שקיבלה תוקף של החלטה איננה מספקת את הבנק (ור' גם את ההחלטה האופרטיבית מיום 25.5.08),</w:t>
            </w:r>
            <w:r>
              <w:rPr>
                <w:rFonts w:ascii="Arial" w:hAnsi="Arial" w:cs="Arial"/>
                <w:rtl/>
              </w:rPr>
              <w:t>, ניתן גם ליצור מנגנונים שונים שיבטיחו הן את הבנק והן את מטיל העיקול מפני מצב בו מי מהם יישאר בידיים ריקות.</w:t>
            </w:r>
          </w:p>
          <w:p w:rsidR="00000000" w:rsidRDefault="00012D97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עם זאת, אין להתעלם מהסיטואציה בה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בנ</w:t>
            </w:r>
            <w:r>
              <w:rPr>
                <w:rFonts w:ascii="Arial" w:hAnsi="Arial" w:cs="Arial"/>
                <w:rtl/>
              </w:rPr>
              <w:t>ק</w:t>
            </w:r>
            <w:r>
              <w:rPr>
                <w:rFonts w:ascii="Arial" w:hAnsi="Arial" w:cs="Arial"/>
                <w:rtl/>
              </w:rPr>
              <w:t xml:space="preserve"> יהסס לעתים מליתן הלוואה מקום בו מתבררת בעייתיות של הלווה, כאשר העובדה כי קיים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העיקול על הנכ</w:t>
            </w:r>
            <w:r>
              <w:rPr>
                <w:rFonts w:ascii="Arial" w:hAnsi="Arial" w:cs="Arial"/>
                <w:rtl/>
              </w:rPr>
              <w:t>ס</w:t>
            </w:r>
            <w:r>
              <w:rPr>
                <w:rFonts w:ascii="Arial" w:hAnsi="Arial" w:cs="Arial"/>
                <w:rtl/>
              </w:rPr>
              <w:t xml:space="preserve"> יכולה לרמז על בעיי</w:t>
            </w:r>
            <w:r>
              <w:rPr>
                <w:rFonts w:ascii="Arial" w:hAnsi="Arial" w:cs="Arial"/>
                <w:rtl/>
              </w:rPr>
              <w:t>תיות כזו.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14.  מכל מקום, אין צורך להעמיק חקר בסיטואציה שנזכרה לעיל, שכן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חוות הדע</w:t>
            </w:r>
            <w:r>
              <w:rPr>
                <w:rtl/>
              </w:rPr>
              <w:t>ת</w:t>
            </w:r>
            <w:r>
              <w:rPr>
                <w:rtl/>
              </w:rPr>
              <w:t xml:space="preserve"> שנערכה ביום 6.7.08 על ידי שמאי מקרקעין לבקשת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בנ</w:t>
            </w:r>
            <w:r>
              <w:rPr>
                <w:rtl/>
              </w:rPr>
              <w:t>ק</w:t>
            </w:r>
            <w:r>
              <w:rPr>
                <w:rtl/>
              </w:rPr>
              <w:t xml:space="preserve"> לאומי, קבעה כי שווי הנכס המשועבד לאחר הפחתות בגין צורך אפשרי במימוש מהיר ובתנאי אילוץ הוא 590,000 ₪ בלבד. יצויין כי לזכות בנק</w:t>
            </w:r>
            <w:r>
              <w:rPr>
                <w:rtl/>
              </w:rPr>
              <w:t xml:space="preserve"> לאומי רשומה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משכנת</w:t>
            </w:r>
            <w:r>
              <w:rPr>
                <w:rtl/>
              </w:rPr>
              <w:t>א</w:t>
            </w:r>
            <w:r>
              <w:rPr>
                <w:rtl/>
              </w:rPr>
              <w:t xml:space="preserve"> בדרגה ראשונה, ולכן הוא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הבנ</w:t>
            </w:r>
            <w:r>
              <w:rPr>
                <w:rtl/>
              </w:rPr>
              <w:t>ק</w:t>
            </w:r>
            <w:r>
              <w:rPr>
                <w:rtl/>
              </w:rPr>
              <w:t xml:space="preserve"> ה"מתאים" ביותר למתן הלוואה שתובטח במשכנתא נוספת.</w:t>
            </w:r>
          </w:p>
          <w:p w:rsidR="00000000" w:rsidRDefault="00012D97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 יכול להיות ספק בכך, כי לא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בנ</w:t>
            </w:r>
            <w:r>
              <w:rPr>
                <w:rFonts w:ascii="Arial" w:hAnsi="Arial" w:cs="Arial"/>
                <w:rtl/>
              </w:rPr>
              <w:t>ק</w:t>
            </w:r>
            <w:r>
              <w:rPr>
                <w:rFonts w:ascii="Arial" w:hAnsi="Arial" w:cs="Arial"/>
                <w:rtl/>
              </w:rPr>
              <w:t xml:space="preserve"> לאומי ולא כל בנק אחר יהיו מוכנים ליתן הלוואה בסך 600,000 ₪ שתובטח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בשיעבוד נכ</w:t>
            </w:r>
            <w:r>
              <w:rPr>
                <w:rFonts w:ascii="Arial" w:hAnsi="Arial" w:cs="Arial"/>
                <w:rtl/>
              </w:rPr>
              <w:t>ס</w:t>
            </w:r>
            <w:r>
              <w:rPr>
                <w:rFonts w:ascii="Arial" w:hAnsi="Arial" w:cs="Arial"/>
                <w:rtl/>
              </w:rPr>
              <w:t xml:space="preserve"> ששוויו למימוש הוא 590,000 ₪, כאשר קיימת כבר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משכנ</w:t>
            </w:r>
            <w:r>
              <w:rPr>
                <w:rFonts w:ascii="Arial" w:hAnsi="Arial" w:cs="Arial"/>
                <w:rtl/>
              </w:rPr>
              <w:t>ת</w:t>
            </w:r>
            <w:r>
              <w:rPr>
                <w:rFonts w:ascii="Arial" w:hAnsi="Arial" w:cs="Arial"/>
                <w:rtl/>
              </w:rPr>
              <w:t>א</w:t>
            </w:r>
            <w:r>
              <w:rPr>
                <w:rFonts w:ascii="Arial" w:hAnsi="Arial" w:cs="Arial"/>
                <w:rtl/>
              </w:rPr>
              <w:t xml:space="preserve"> בסך 300,000 ₪ על הנכס, וזאת אף בלא להתחשב בנושא העיקול שיוסר ובמרווחי בטחון אותם דורש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הבנ</w:t>
            </w:r>
            <w:r>
              <w:rPr>
                <w:rFonts w:ascii="Arial" w:hAnsi="Arial" w:cs="Arial"/>
                <w:rtl/>
              </w:rPr>
              <w:t>ק</w:t>
            </w:r>
            <w:r>
              <w:rPr>
                <w:rFonts w:ascii="Arial" w:hAnsi="Arial" w:cs="Arial"/>
                <w:rtl/>
              </w:rPr>
              <w:t xml:space="preserve"> כדבר שבשגרה.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15.  עולה, אפוא, כי קיימת מניעה אובייקטיבית לקבלת הלוואה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מבנ</w:t>
            </w:r>
            <w:r>
              <w:rPr>
                <w:rtl/>
              </w:rPr>
              <w:t>ק</w:t>
            </w:r>
            <w:r>
              <w:rPr>
                <w:rtl/>
              </w:rPr>
              <w:t xml:space="preserve"> שתובטח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בשעבוד הנכ</w:t>
            </w:r>
            <w:r>
              <w:rPr>
                <w:rtl/>
              </w:rPr>
              <w:t>ס</w:t>
            </w:r>
            <w:r>
              <w:rPr>
                <w:rtl/>
              </w:rPr>
              <w:t>, כאשר מניעה זו נובעת משוויו של הנכס, כפי שהוערך על ידי שמאי מטעם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הבנ</w:t>
            </w:r>
            <w:r>
              <w:rPr>
                <w:rtl/>
              </w:rPr>
              <w:t>ק</w:t>
            </w:r>
            <w:r>
              <w:rPr>
                <w:rtl/>
              </w:rPr>
              <w:t>.</w:t>
            </w:r>
          </w:p>
          <w:p w:rsidR="00000000" w:rsidRDefault="00012D97">
            <w:pPr>
              <w:pStyle w:val="f13psakdin-no0"/>
              <w:textAlignment w:val="top"/>
            </w:pPr>
            <w:r>
              <w:rPr>
                <w:rtl/>
              </w:rPr>
              <w:t>16.  לכן, אני קובע אי הפקדת הסך של 600,000 ₪ נובעת מבעיה שאיננה תלויה במזמין, ולפיכך אין מקום לחייב את המזמין בתשלום סך של 100,000 ₪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לקבל</w:t>
            </w:r>
            <w:r>
              <w:rPr>
                <w:rtl/>
              </w:rPr>
              <w:t>ן</w:t>
            </w:r>
            <w:r>
              <w:rPr>
                <w:rtl/>
              </w:rPr>
              <w:t>.</w:t>
            </w:r>
          </w:p>
        </w:tc>
        <w:tc>
          <w:tcPr>
            <w:tcW w:w="22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012D97">
            <w:pPr>
              <w:bidi/>
              <w:textAlignment w:val="top"/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 xml:space="preserve">17.  המצב לפיו לא שילם המזמין ולו שקל אחד עבור הנכס שנבנה עבורו, איננו </w:t>
            </w:r>
            <w:r>
              <w:rPr>
                <w:rtl/>
              </w:rPr>
              <w:t>מניח אמנם, לכאורה, את הדעת, אך מנגד אין לשכוח גם כי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הקבל</w:t>
            </w:r>
            <w:r>
              <w:rPr>
                <w:rtl/>
              </w:rPr>
              <w:t>ן</w:t>
            </w:r>
            <w:r>
              <w:rPr>
                <w:rtl/>
              </w:rPr>
              <w:t xml:space="preserve"> הסכים לבצע את הבניה בלא לקבל את התמורה, אף שנספח התמורה להסכם קבע שלבים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למועדי תשלו</w:t>
            </w:r>
            <w:r>
              <w:rPr>
                <w:rtl/>
              </w:rPr>
              <w:t>ם</w:t>
            </w:r>
            <w:r>
              <w:rPr>
                <w:rtl/>
              </w:rPr>
              <w:t xml:space="preserve"> התמורה, לפי התקדמות הבניה. הצדדים חלוקים ביניהם בנוגע לסיבות בשלהן נוצרה סיטואציה זו, כמו גם באשר לנושאים לא מעטי</w:t>
            </w:r>
            <w:r>
              <w:rPr>
                <w:rtl/>
              </w:rPr>
              <w:t>ם אחרים, לרבות לעניין ליקויים הנטענים על ידי המזמין.</w:t>
            </w:r>
          </w:p>
          <w:p w:rsidR="00000000" w:rsidRDefault="00012D97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יש לצפות כי לאור ההסכמות הנוספות ביניהם יסתיימו ההליכים המשפטיים ביניהם, ויוכרעו המחלוקות תוך פרק זמן קצר.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18.  ואכן לפחות לעניין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הבור</w:t>
            </w:r>
            <w:r>
              <w:rPr>
                <w:rtl/>
              </w:rPr>
              <w:t>ר</w:t>
            </w:r>
            <w:r>
              <w:rPr>
                <w:rtl/>
              </w:rPr>
              <w:t>ות הסכימו הצדדים להעברת הסכסוך לבוררות (גם לאור קיום סעיף בוררות בהס</w:t>
            </w:r>
            <w:r>
              <w:rPr>
                <w:rtl/>
              </w:rPr>
              <w:t xml:space="preserve">כם שביניהם) בפני המהנדס ושמאי המקרקעין מר יצחק ברמן וכי בוררות זו תסתיים תוך 6 חודשים מיום שיתמנה הבורר. </w:t>
            </w:r>
          </w:p>
          <w:p w:rsidR="00000000" w:rsidRDefault="00012D97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בדיון האחרון דרש, אמנם,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הקבל</w:t>
            </w:r>
            <w:r>
              <w:rPr>
                <w:rFonts w:ascii="Arial" w:hAnsi="Arial" w:cs="Arial"/>
                <w:rtl/>
              </w:rPr>
              <w:t>ן</w:t>
            </w:r>
            <w:r>
              <w:rPr>
                <w:rFonts w:ascii="Arial" w:hAnsi="Arial" w:cs="Arial"/>
                <w:rtl/>
              </w:rPr>
              <w:t xml:space="preserve"> כי קודם להעברת הסכסוך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לבור</w:t>
            </w:r>
            <w:r>
              <w:rPr>
                <w:rFonts w:ascii="Arial" w:hAnsi="Arial" w:cs="Arial"/>
                <w:rtl/>
              </w:rPr>
              <w:t>ר</w:t>
            </w:r>
            <w:r>
              <w:rPr>
                <w:rFonts w:ascii="Arial" w:hAnsi="Arial" w:cs="Arial"/>
                <w:rtl/>
              </w:rPr>
              <w:t>ות יתקיים דיון בבקשת הרשות להגן שתוגש על ידי המזמין, וכי הסכסוך יועבר לבוררות רק אם תינתן רשו</w:t>
            </w:r>
            <w:r>
              <w:rPr>
                <w:rFonts w:ascii="Arial" w:hAnsi="Arial" w:cs="Arial"/>
                <w:rtl/>
              </w:rPr>
              <w:t>ת להגן, ורק לגבי החלק לגביו תינתן רשות להגן, אולם אינני מוצא מקום לקיום הליך כפול מעין זה. המחלוקות כולן צריכות להתברר בפני הבורר והעובדה כי התביעה הוגשה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בסדר די</w:t>
            </w:r>
            <w:r>
              <w:rPr>
                <w:rFonts w:ascii="Arial" w:hAnsi="Arial" w:cs="Arial"/>
                <w:rtl/>
              </w:rPr>
              <w:t>ן</w:t>
            </w:r>
            <w:r>
              <w:rPr>
                <w:rFonts w:ascii="Arial" w:hAnsi="Arial" w:cs="Arial"/>
                <w:rtl/>
              </w:rPr>
              <w:t xml:space="preserve"> מקוצ</w:t>
            </w:r>
            <w:r>
              <w:rPr>
                <w:rFonts w:ascii="Arial" w:hAnsi="Arial" w:cs="Arial"/>
                <w:rtl/>
              </w:rPr>
              <w:t>ר</w:t>
            </w:r>
            <w:r>
              <w:rPr>
                <w:rFonts w:ascii="Arial" w:hAnsi="Arial" w:cs="Arial"/>
                <w:rtl/>
              </w:rPr>
              <w:t xml:space="preserve"> איננה אמורה למנוע בירור כולל זה, ואיננה אמורה להביא לשמיעת חלק מההליך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בבית משפ</w:t>
            </w:r>
            <w:r>
              <w:rPr>
                <w:rFonts w:ascii="Arial" w:hAnsi="Arial" w:cs="Arial"/>
                <w:rtl/>
              </w:rPr>
              <w:t>ט</w:t>
            </w:r>
            <w:r>
              <w:rPr>
                <w:rFonts w:ascii="Arial" w:hAnsi="Arial" w:cs="Arial"/>
                <w:rtl/>
              </w:rPr>
              <w:t>. משקיים</w:t>
            </w:r>
            <w:r>
              <w:rPr>
                <w:rFonts w:ascii="Arial" w:hAnsi="Arial" w:cs="Arial"/>
                <w:rtl/>
              </w:rPr>
              <w:t xml:space="preserve"> סעיף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בור</w:t>
            </w:r>
            <w:r>
              <w:rPr>
                <w:rFonts w:ascii="Arial" w:hAnsi="Arial" w:cs="Arial"/>
                <w:rtl/>
              </w:rPr>
              <w:t>ר</w:t>
            </w:r>
            <w:r>
              <w:rPr>
                <w:rFonts w:ascii="Arial" w:hAnsi="Arial" w:cs="Arial"/>
                <w:rtl/>
              </w:rPr>
              <w:t>ות בהסכם בין הצדדים, הרי אף ללא הסכמתם המאוחרת של הצדדים, היה מקום לעכב את ההליכים ולהעבירם לבוררות לבקשת המזמין.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19.  לפיכך אני מעכב את ההליכים בתובענה זו וממנה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כבור</w:t>
            </w:r>
            <w:r>
              <w:rPr>
                <w:rtl/>
              </w:rPr>
              <w:t>ר</w:t>
            </w:r>
            <w:r>
              <w:rPr>
                <w:rtl/>
              </w:rPr>
              <w:t xml:space="preserve"> בין הצדדים את המהנדס ושמאי המקרקעין מר יצחק ברמן, בכפוף לכך כי אין מניעה לכהונ</w:t>
            </w:r>
            <w:r>
              <w:rPr>
                <w:rtl/>
              </w:rPr>
              <w:t>תו כבורר עקב היכרות או קשר קודם עם מי מהצדדים.</w:t>
            </w:r>
          </w:p>
          <w:p w:rsidR="00000000" w:rsidRDefault="00012D97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בהתאם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להסכמת הצדדי</w:t>
            </w:r>
            <w:r>
              <w:rPr>
                <w:rFonts w:ascii="Arial" w:hAnsi="Arial" w:cs="Arial"/>
                <w:rtl/>
              </w:rPr>
              <w:t>ם</w:t>
            </w:r>
            <w:r>
              <w:rPr>
                <w:rFonts w:ascii="Arial" w:hAnsi="Arial" w:cs="Arial"/>
                <w:rtl/>
              </w:rPr>
              <w:t xml:space="preserve"> תסתיים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הבור</w:t>
            </w:r>
            <w:r>
              <w:rPr>
                <w:rFonts w:ascii="Arial" w:hAnsi="Arial" w:cs="Arial"/>
                <w:rtl/>
              </w:rPr>
              <w:t>ר</w:t>
            </w:r>
            <w:r>
              <w:rPr>
                <w:rFonts w:ascii="Arial" w:hAnsi="Arial" w:cs="Arial"/>
                <w:rtl/>
              </w:rPr>
              <w:t>ות תוך 6 חודשים מהיום.</w:t>
            </w:r>
          </w:p>
          <w:p w:rsidR="00000000" w:rsidRDefault="00012D97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20.  על מנת לקדם ולייעל את ההליכים בין הצדדים, אני קובע גם כי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כתב ההגנ</w:t>
            </w:r>
            <w:r>
              <w:rPr>
                <w:rtl/>
              </w:rPr>
              <w:t>ה</w:t>
            </w:r>
            <w:r>
              <w:rPr>
                <w:rtl/>
              </w:rPr>
              <w:t xml:space="preserve"> שיוגש על ידי המזמין במסגרת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הבור</w:t>
            </w:r>
            <w:r>
              <w:rPr>
                <w:rtl/>
              </w:rPr>
              <w:t>ר</w:t>
            </w:r>
            <w:r>
              <w:rPr>
                <w:rtl/>
              </w:rPr>
              <w:t>ות, יוגש לא יאוחר מיום 18.8.08, בהתחשב בכך כי עמ</w:t>
            </w:r>
            <w:r>
              <w:rPr>
                <w:rtl/>
              </w:rPr>
              <w:t>ד לרשות המזמין די והותר זמן מאז הוגשה התביעה לפני כ-9 חודשים (הבקשה לעיכוב ההליכים הוגשה לפני למעלה מחצי שנה), ובהתחשב בכך כי המזמין הציג מכתב מיום 11.3.08 מחברת "בדק בית - קו מנחה" לפיו נבדק הנכס על ידי מהנדס בניין ושמאי מקרקעין וכי נדרשים 8 ימי עבודה להו</w:t>
            </w:r>
            <w:r>
              <w:rPr>
                <w:rtl/>
              </w:rPr>
              <w:t>צאת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חוות הדע</w:t>
            </w:r>
            <w:r>
              <w:rPr>
                <w:rtl/>
              </w:rPr>
              <w:t>ת</w:t>
            </w:r>
            <w:r>
              <w:rPr>
                <w:rtl/>
              </w:rPr>
              <w:t xml:space="preserve"> הסופית (חוות הדעת לא הוצגה עד עתה בפני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בית המשפ</w:t>
            </w:r>
            <w:r>
              <w:rPr>
                <w:rtl/>
              </w:rPr>
              <w:t>ט</w:t>
            </w:r>
            <w:r>
              <w:rPr>
                <w:rtl/>
              </w:rPr>
              <w:t>, וכנראה גם לא בפני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הקבל</w:t>
            </w:r>
            <w:r>
              <w:rPr>
                <w:rtl/>
              </w:rPr>
              <w:t>ן</w:t>
            </w:r>
            <w:r>
              <w:rPr>
                <w:rtl/>
              </w:rPr>
              <w:t>).</w:t>
            </w:r>
          </w:p>
          <w:p w:rsidR="00000000" w:rsidRDefault="00012D97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21.  מובהר כי העיקול שהוטל במסגרת תביעה זו יישאר בעינו עד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החלטה אחר</w:t>
            </w:r>
            <w:r>
              <w:rPr>
                <w:rtl/>
              </w:rPr>
              <w:t>ת</w:t>
            </w:r>
            <w:r>
              <w:rPr>
                <w:rtl/>
              </w:rPr>
              <w:t>.</w:t>
            </w:r>
          </w:p>
          <w:p w:rsidR="00000000" w:rsidRDefault="00012D97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22.  המזכירות תשלח עותק החלטה זו לב"כ הצדדים באמצעות הפקסימיליה וכן בדואר רשום עם אישור מסירה.</w:t>
            </w:r>
          </w:p>
          <w:p w:rsidR="00000000" w:rsidRDefault="00012D97">
            <w:pPr>
              <w:pStyle w:val="f13psakdin-table"/>
              <w:textAlignment w:val="top"/>
              <w:rPr>
                <w:rtl/>
              </w:rPr>
            </w:pPr>
            <w:r>
              <w:rPr>
                <w:rtl/>
              </w:rPr>
              <w:t> </w:t>
            </w:r>
          </w:p>
          <w:p w:rsidR="00000000" w:rsidRDefault="00012D97">
            <w:pPr>
              <w:pStyle w:val="f13psakdin-table"/>
              <w:textAlignment w:val="top"/>
              <w:rPr>
                <w:rtl/>
              </w:rPr>
            </w:pPr>
            <w:r>
              <w:rPr>
                <w:rtl/>
              </w:rPr>
              <w:t> </w:t>
            </w:r>
          </w:p>
          <w:p w:rsidR="00000000" w:rsidRDefault="00012D97">
            <w:pPr>
              <w:pStyle w:val="f13psakdin-table"/>
              <w:textAlignment w:val="top"/>
            </w:pPr>
            <w:r>
              <w:rPr>
                <w:rtl/>
              </w:rPr>
              <w:t>ניתנה היום כ"ו בתמוז, תשס"ח (29 ביולי 2008) בהעדר הצדדים.</w:t>
            </w:r>
          </w:p>
        </w:tc>
        <w:tc>
          <w:tcPr>
            <w:tcW w:w="22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012D97">
            <w:pPr>
              <w:bidi/>
              <w:textAlignment w:val="top"/>
              <w:rPr>
                <w:rFonts w:ascii="Arial" w:eastAsia="Times New Roman" w:hAnsi="Arial" w:cs="Arial"/>
              </w:rPr>
            </w:pPr>
          </w:p>
        </w:tc>
      </w:tr>
    </w:tbl>
    <w:p w:rsidR="00012D97" w:rsidRDefault="005E65AA">
      <w:pPr>
        <w:rPr>
          <w:rFonts w:eastAsia="Times New Roman"/>
        </w:rPr>
      </w:pPr>
      <w:r>
        <w:rPr>
          <w:rFonts w:ascii="Arial" w:eastAsia="Times New Roman" w:hAnsi="Arial" w:cs="Arial"/>
        </w:rPr>
        <w:pict/>
      </w:r>
    </w:p>
    <w:sectPr w:rsidR="00012D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20"/>
  <w:noPunctuationKerning/>
  <w:characterSpacingControl w:val="doNotCompress"/>
  <w:compat/>
  <w:rsids>
    <w:rsidRoot w:val="005E65AA"/>
    <w:rsid w:val="00012D97"/>
    <w:rsid w:val="005E65AA"/>
    <w:rsid w:val="0077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f27t">
    <w:name w:val="f27t"/>
    <w:basedOn w:val="a"/>
    <w:pPr>
      <w:spacing w:before="100" w:beforeAutospacing="1" w:after="100" w:afterAutospacing="1"/>
      <w:ind w:right="283"/>
    </w:pPr>
    <w:rPr>
      <w:rFonts w:ascii="Courier New" w:hAnsi="Courier New" w:cs="Courier New"/>
      <w:sz w:val="20"/>
      <w:szCs w:val="20"/>
    </w:rPr>
  </w:style>
  <w:style w:type="paragraph" w:customStyle="1" w:styleId="f4">
    <w:name w:val="f4"/>
    <w:basedOn w:val="a"/>
    <w:pPr>
      <w:spacing w:before="100" w:beforeAutospacing="1" w:after="100" w:afterAutospacing="1"/>
      <w:jc w:val="center"/>
    </w:pPr>
    <w:rPr>
      <w:rFonts w:cs="David"/>
    </w:rPr>
  </w:style>
  <w:style w:type="paragraph" w:customStyle="1" w:styleId="f5">
    <w:name w:val="f5"/>
    <w:basedOn w:val="a"/>
    <w:pPr>
      <w:spacing w:before="100" w:beforeAutospacing="1" w:after="100" w:afterAutospacing="1"/>
      <w:jc w:val="center"/>
    </w:pPr>
  </w:style>
  <w:style w:type="paragraph" w:customStyle="1" w:styleId="f13h">
    <w:name w:val="f13h"/>
    <w:basedOn w:val="a"/>
    <w:pPr>
      <w:spacing w:before="100" w:beforeAutospacing="1" w:after="100" w:afterAutospacing="1"/>
      <w:jc w:val="center"/>
    </w:pPr>
    <w:rPr>
      <w:rFonts w:cs="David"/>
      <w:b/>
      <w:bCs/>
      <w:color w:val="000066"/>
      <w:sz w:val="36"/>
      <w:szCs w:val="36"/>
    </w:rPr>
  </w:style>
  <w:style w:type="paragraph" w:customStyle="1" w:styleId="f13j">
    <w:name w:val="f13j"/>
    <w:basedOn w:val="a"/>
    <w:pPr>
      <w:spacing w:before="100" w:beforeAutospacing="1" w:after="100" w:afterAutospacing="1"/>
    </w:pPr>
    <w:rPr>
      <w:rFonts w:cs="Guttman Adii"/>
      <w:b/>
      <w:bCs/>
    </w:rPr>
  </w:style>
  <w:style w:type="paragraph" w:customStyle="1" w:styleId="f26">
    <w:name w:val="f26"/>
    <w:basedOn w:val="a"/>
    <w:pPr>
      <w:spacing w:before="100" w:beforeAutospacing="1" w:after="100" w:afterAutospacing="1"/>
      <w:jc w:val="center"/>
    </w:pPr>
    <w:rPr>
      <w:rFonts w:cs="David"/>
      <w:b/>
      <w:bCs/>
      <w:color w:val="000066"/>
      <w:sz w:val="36"/>
      <w:szCs w:val="36"/>
    </w:rPr>
  </w:style>
  <w:style w:type="paragraph" w:customStyle="1" w:styleId="f27p">
    <w:name w:val="f27p"/>
    <w:basedOn w:val="a"/>
    <w:pPr>
      <w:spacing w:before="100" w:beforeAutospacing="1" w:after="100" w:afterAutospacing="1"/>
      <w:ind w:right="283"/>
    </w:pPr>
  </w:style>
  <w:style w:type="paragraph" w:customStyle="1" w:styleId="f27s">
    <w:name w:val="f27s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f27sd">
    <w:name w:val="f27sd"/>
    <w:basedOn w:val="a"/>
    <w:pPr>
      <w:spacing w:after="100" w:afterAutospacing="1"/>
      <w:ind w:right="283"/>
    </w:pPr>
    <w:rPr>
      <w:rFonts w:cs="Guttman Adii"/>
      <w:i/>
      <w:iCs/>
      <w:sz w:val="28"/>
      <w:szCs w:val="28"/>
    </w:rPr>
  </w:style>
  <w:style w:type="paragraph" w:customStyle="1" w:styleId="f40">
    <w:name w:val="f40"/>
    <w:basedOn w:val="a"/>
    <w:pPr>
      <w:spacing w:before="100" w:beforeAutospacing="1" w:after="100" w:afterAutospacing="1"/>
    </w:pPr>
    <w:rPr>
      <w:rFonts w:cs="David"/>
      <w:color w:val="2B003A"/>
    </w:rPr>
  </w:style>
  <w:style w:type="paragraph" w:customStyle="1" w:styleId="linkmotion">
    <w:name w:val="linkmotion"/>
    <w:basedOn w:val="a"/>
    <w:pPr>
      <w:spacing w:before="300" w:after="100" w:afterAutospacing="1"/>
      <w:ind w:left="300"/>
    </w:pPr>
    <w:rPr>
      <w:b/>
      <w:bCs/>
      <w:color w:val="0000FF"/>
      <w:sz w:val="26"/>
      <w:szCs w:val="26"/>
      <w:u w:val="single"/>
    </w:rPr>
  </w:style>
  <w:style w:type="paragraph" w:customStyle="1" w:styleId="linktosavir">
    <w:name w:val="linktosavir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13psakdin-du4">
    <w:name w:val="f13psakdin-du4"/>
    <w:basedOn w:val="a"/>
    <w:pPr>
      <w:bidi/>
      <w:spacing w:before="100" w:beforeAutospacing="1" w:after="100" w:afterAutospacing="1"/>
      <w:ind w:left="2552" w:hanging="851"/>
      <w:jc w:val="both"/>
    </w:pPr>
    <w:rPr>
      <w:rFonts w:ascii="Arial" w:hAnsi="Arial" w:cs="Arial"/>
    </w:rPr>
  </w:style>
  <w:style w:type="paragraph" w:customStyle="1" w:styleId="f13psakdin-du5">
    <w:name w:val="f13psakdin-du5"/>
    <w:basedOn w:val="a"/>
    <w:pPr>
      <w:bidi/>
      <w:spacing w:before="100" w:beforeAutospacing="1" w:after="100" w:afterAutospacing="1"/>
      <w:ind w:left="2977" w:hanging="851"/>
      <w:jc w:val="both"/>
    </w:pPr>
    <w:rPr>
      <w:rFonts w:ascii="Arial" w:hAnsi="Arial" w:cs="Arial"/>
    </w:rPr>
  </w:style>
  <w:style w:type="paragraph" w:customStyle="1" w:styleId="koteret">
    <w:name w:val="koteret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linktotaktzir">
    <w:name w:val="linktotaktzir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linktopsakdin">
    <w:name w:val="linktopsakdin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linktokt">
    <w:name w:val="linktokt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linktoirur">
    <w:name w:val="linktoirur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ulldoclinkkt">
    <w:name w:val="fulldoclinkkt"/>
    <w:basedOn w:val="a"/>
    <w:pPr>
      <w:spacing w:before="100" w:beforeAutospacing="1" w:after="100" w:afterAutospacing="1"/>
    </w:pPr>
  </w:style>
  <w:style w:type="paragraph" w:customStyle="1" w:styleId="key">
    <w:name w:val="key"/>
    <w:basedOn w:val="a"/>
    <w:pPr>
      <w:spacing w:before="100" w:beforeAutospacing="1" w:after="100" w:afterAutospacing="1"/>
    </w:pPr>
  </w:style>
  <w:style w:type="paragraph" w:customStyle="1" w:styleId="hakadkan">
    <w:name w:val="hakadkan"/>
    <w:basedOn w:val="a"/>
    <w:pPr>
      <w:spacing w:before="100" w:beforeAutospacing="1" w:after="100" w:afterAutospacing="1"/>
      <w:ind w:left="357"/>
      <w:textAlignment w:val="top"/>
    </w:pPr>
  </w:style>
  <w:style w:type="paragraph" w:customStyle="1" w:styleId="f0">
    <w:name w:val="f0"/>
    <w:basedOn w:val="a"/>
    <w:pPr>
      <w:spacing w:before="100" w:beforeAutospacing="1" w:after="100" w:afterAutospacing="1"/>
    </w:pPr>
    <w:rPr>
      <w:rFonts w:cs="David"/>
      <w:b/>
      <w:bCs/>
      <w:i/>
      <w:iCs/>
    </w:rPr>
  </w:style>
  <w:style w:type="paragraph" w:customStyle="1" w:styleId="f2">
    <w:name w:val="f2"/>
    <w:basedOn w:val="a"/>
    <w:pPr>
      <w:spacing w:before="100" w:beforeAutospacing="1" w:after="100" w:afterAutospacing="1"/>
    </w:pPr>
    <w:rPr>
      <w:rFonts w:cs="David"/>
      <w:b/>
      <w:bCs/>
      <w:i/>
      <w:iCs/>
    </w:rPr>
  </w:style>
  <w:style w:type="paragraph" w:customStyle="1" w:styleId="f2n">
    <w:name w:val="f2n"/>
    <w:basedOn w:val="a"/>
    <w:pPr>
      <w:spacing w:before="100" w:beforeAutospacing="1" w:after="100" w:afterAutospacing="1"/>
    </w:pPr>
    <w:rPr>
      <w:rFonts w:cs="David"/>
      <w:b/>
      <w:bCs/>
      <w:i/>
      <w:iCs/>
    </w:rPr>
  </w:style>
  <w:style w:type="paragraph" w:customStyle="1" w:styleId="f3">
    <w:name w:val="f3"/>
    <w:basedOn w:val="a"/>
    <w:pPr>
      <w:spacing w:before="100" w:beforeAutospacing="1" w:after="100" w:afterAutospacing="1"/>
    </w:pPr>
    <w:rPr>
      <w:rFonts w:cs="David"/>
      <w:b/>
      <w:bCs/>
      <w:i/>
      <w:iCs/>
    </w:rPr>
  </w:style>
  <w:style w:type="paragraph" w:customStyle="1" w:styleId="f41">
    <w:name w:val="f41"/>
    <w:basedOn w:val="a"/>
    <w:pPr>
      <w:spacing w:before="100" w:beforeAutospacing="1" w:after="100" w:afterAutospacing="1"/>
      <w:jc w:val="center"/>
    </w:pPr>
    <w:rPr>
      <w:rFonts w:cs="David"/>
    </w:rPr>
  </w:style>
  <w:style w:type="paragraph" w:customStyle="1" w:styleId="f42">
    <w:name w:val="f42"/>
    <w:basedOn w:val="a"/>
    <w:pPr>
      <w:spacing w:before="100" w:beforeAutospacing="1" w:after="100" w:afterAutospacing="1"/>
    </w:pPr>
    <w:rPr>
      <w:rFonts w:cs="David"/>
    </w:rPr>
  </w:style>
  <w:style w:type="paragraph" w:customStyle="1" w:styleId="f13psakdin">
    <w:name w:val="f13psakdin"/>
    <w:basedOn w:val="a"/>
    <w:pPr>
      <w:bidi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f13psakdin1">
    <w:name w:val="f13psakdin1"/>
    <w:basedOn w:val="a"/>
    <w:pPr>
      <w:bidi/>
      <w:spacing w:before="100" w:beforeAutospacing="1" w:after="100" w:afterAutospacing="1"/>
      <w:ind w:left="851"/>
      <w:jc w:val="both"/>
    </w:pPr>
    <w:rPr>
      <w:rFonts w:ascii="Arial" w:hAnsi="Arial" w:cs="Arial"/>
    </w:rPr>
  </w:style>
  <w:style w:type="paragraph" w:customStyle="1" w:styleId="f13psakdin2">
    <w:name w:val="f13psakdin2"/>
    <w:basedOn w:val="a"/>
    <w:pPr>
      <w:bidi/>
      <w:spacing w:before="100" w:beforeAutospacing="1" w:after="100" w:afterAutospacing="1"/>
      <w:ind w:left="1276"/>
      <w:jc w:val="both"/>
    </w:pPr>
    <w:rPr>
      <w:rFonts w:ascii="Arial" w:hAnsi="Arial" w:cs="Arial"/>
    </w:rPr>
  </w:style>
  <w:style w:type="paragraph" w:customStyle="1" w:styleId="f13psakdin3">
    <w:name w:val="f13psakdin3"/>
    <w:basedOn w:val="a"/>
    <w:pPr>
      <w:bidi/>
      <w:spacing w:before="100" w:beforeAutospacing="1" w:after="100" w:afterAutospacing="1"/>
      <w:ind w:left="1701"/>
      <w:jc w:val="both"/>
    </w:pPr>
    <w:rPr>
      <w:rFonts w:ascii="Arial" w:hAnsi="Arial" w:cs="Arial"/>
    </w:rPr>
  </w:style>
  <w:style w:type="paragraph" w:customStyle="1" w:styleId="f13psakdin-no0">
    <w:name w:val="f13psakdin-no0"/>
    <w:basedOn w:val="a"/>
    <w:pPr>
      <w:bidi/>
      <w:spacing w:before="100" w:beforeAutospacing="1" w:after="100" w:afterAutospacing="1"/>
      <w:ind w:left="425" w:right="240" w:hanging="460"/>
      <w:jc w:val="both"/>
    </w:pPr>
    <w:rPr>
      <w:rFonts w:ascii="Arial" w:hAnsi="Arial" w:cs="Arial"/>
    </w:rPr>
  </w:style>
  <w:style w:type="paragraph" w:customStyle="1" w:styleId="f13psakdin-no1">
    <w:name w:val="f13psakdin-no1"/>
    <w:basedOn w:val="a"/>
    <w:pPr>
      <w:bidi/>
      <w:spacing w:before="100" w:beforeAutospacing="1" w:after="100" w:afterAutospacing="1"/>
      <w:ind w:left="850" w:hanging="425"/>
      <w:jc w:val="both"/>
    </w:pPr>
    <w:rPr>
      <w:rFonts w:ascii="Arial" w:hAnsi="Arial" w:cs="Arial"/>
    </w:rPr>
  </w:style>
  <w:style w:type="paragraph" w:customStyle="1" w:styleId="f13psakdin-no2">
    <w:name w:val="f13psakdin-no2"/>
    <w:basedOn w:val="a"/>
    <w:pPr>
      <w:bidi/>
      <w:spacing w:before="100" w:beforeAutospacing="1" w:after="100" w:afterAutospacing="1"/>
      <w:ind w:left="1276" w:hanging="425"/>
      <w:jc w:val="both"/>
    </w:pPr>
    <w:rPr>
      <w:rFonts w:ascii="Arial" w:hAnsi="Arial" w:cs="Arial"/>
    </w:rPr>
  </w:style>
  <w:style w:type="paragraph" w:customStyle="1" w:styleId="f13psakdin-no3">
    <w:name w:val="f13psakdin-no3"/>
    <w:basedOn w:val="a"/>
    <w:pPr>
      <w:bidi/>
      <w:spacing w:before="100" w:beforeAutospacing="1" w:after="100" w:afterAutospacing="1"/>
      <w:ind w:left="1701" w:hanging="425"/>
      <w:jc w:val="both"/>
    </w:pPr>
    <w:rPr>
      <w:rFonts w:ascii="Arial" w:hAnsi="Arial" w:cs="Arial"/>
    </w:rPr>
  </w:style>
  <w:style w:type="paragraph" w:customStyle="1" w:styleId="f13psakdin-no4">
    <w:name w:val="f13psakdin-no4"/>
    <w:basedOn w:val="a"/>
    <w:pPr>
      <w:bidi/>
      <w:spacing w:before="100" w:beforeAutospacing="1" w:after="100" w:afterAutospacing="1"/>
      <w:ind w:left="2126" w:hanging="425"/>
      <w:jc w:val="both"/>
    </w:pPr>
    <w:rPr>
      <w:rFonts w:ascii="Arial" w:hAnsi="Arial" w:cs="Arial"/>
    </w:rPr>
  </w:style>
  <w:style w:type="paragraph" w:customStyle="1" w:styleId="f13psakdin4">
    <w:name w:val="f13psakdin4"/>
    <w:basedOn w:val="a"/>
    <w:pPr>
      <w:bidi/>
      <w:spacing w:before="100" w:beforeAutospacing="1" w:after="100" w:afterAutospacing="1"/>
      <w:ind w:left="2126"/>
      <w:jc w:val="both"/>
    </w:pPr>
    <w:rPr>
      <w:rFonts w:ascii="Arial" w:hAnsi="Arial" w:cs="Arial"/>
    </w:rPr>
  </w:style>
  <w:style w:type="paragraph" w:customStyle="1" w:styleId="f13psakdin-no5">
    <w:name w:val="f13psakdin-no5"/>
    <w:basedOn w:val="a"/>
    <w:pPr>
      <w:bidi/>
      <w:spacing w:before="100" w:beforeAutospacing="1" w:after="100" w:afterAutospacing="1"/>
      <w:ind w:left="2551" w:hanging="425"/>
      <w:jc w:val="both"/>
    </w:pPr>
    <w:rPr>
      <w:rFonts w:ascii="Arial" w:hAnsi="Arial" w:cs="Arial"/>
    </w:rPr>
  </w:style>
  <w:style w:type="paragraph" w:customStyle="1" w:styleId="f13psakdin-table">
    <w:name w:val="f13psakdin-table"/>
    <w:basedOn w:val="a"/>
    <w:pPr>
      <w:bidi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f13footnote">
    <w:name w:val="f13footnote"/>
    <w:basedOn w:val="a"/>
    <w:pPr>
      <w:bidi/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f13psakdin-du0">
    <w:name w:val="f13psakdin-du0"/>
    <w:basedOn w:val="a"/>
    <w:pPr>
      <w:bidi/>
      <w:spacing w:before="100" w:beforeAutospacing="1" w:after="100" w:afterAutospacing="1"/>
      <w:ind w:left="851" w:hanging="851"/>
      <w:jc w:val="both"/>
    </w:pPr>
    <w:rPr>
      <w:rFonts w:ascii="Arial" w:hAnsi="Arial" w:cs="Arial"/>
    </w:rPr>
  </w:style>
  <w:style w:type="paragraph" w:customStyle="1" w:styleId="f13psakdin-du1">
    <w:name w:val="f13psakdin-du1"/>
    <w:basedOn w:val="a"/>
    <w:pPr>
      <w:bidi/>
      <w:spacing w:before="100" w:beforeAutospacing="1" w:after="100" w:afterAutospacing="1"/>
      <w:ind w:left="1276" w:hanging="851"/>
      <w:jc w:val="both"/>
    </w:pPr>
    <w:rPr>
      <w:rFonts w:ascii="Arial" w:hAnsi="Arial" w:cs="Arial"/>
    </w:rPr>
  </w:style>
  <w:style w:type="paragraph" w:customStyle="1" w:styleId="f13psakdin-du2">
    <w:name w:val="f13psakdin-du2"/>
    <w:basedOn w:val="a"/>
    <w:pPr>
      <w:bidi/>
      <w:spacing w:before="100" w:beforeAutospacing="1" w:after="100" w:afterAutospacing="1"/>
      <w:ind w:left="1702" w:hanging="851"/>
      <w:jc w:val="both"/>
    </w:pPr>
    <w:rPr>
      <w:rFonts w:ascii="Arial" w:hAnsi="Arial" w:cs="Arial"/>
    </w:rPr>
  </w:style>
  <w:style w:type="paragraph" w:customStyle="1" w:styleId="f13psakdin-du3">
    <w:name w:val="f13psakdin-du3"/>
    <w:basedOn w:val="a"/>
    <w:pPr>
      <w:bidi/>
      <w:spacing w:before="100" w:beforeAutospacing="1" w:after="100" w:afterAutospacing="1"/>
      <w:ind w:left="2127" w:hanging="851"/>
      <w:jc w:val="both"/>
    </w:pPr>
    <w:rPr>
      <w:rFonts w:ascii="Arial" w:hAnsi="Arial" w:cs="Arial"/>
    </w:rPr>
  </w:style>
  <w:style w:type="paragraph" w:customStyle="1" w:styleId="f13psakdin0e">
    <w:name w:val="f13psakdin0e"/>
    <w:basedOn w:val="a"/>
    <w:pPr>
      <w:spacing w:before="100" w:beforeAutospacing="1"/>
      <w:ind w:right="851"/>
      <w:jc w:val="both"/>
    </w:pPr>
    <w:rPr>
      <w:rFonts w:ascii="Arial" w:hAnsi="Arial" w:cs="Arial"/>
    </w:rPr>
  </w:style>
  <w:style w:type="paragraph" w:customStyle="1" w:styleId="f13psakdin1e">
    <w:name w:val="f13psakdin1e"/>
    <w:basedOn w:val="a"/>
    <w:pPr>
      <w:spacing w:before="100" w:beforeAutospacing="1"/>
      <w:ind w:left="425" w:right="851"/>
      <w:jc w:val="both"/>
    </w:pPr>
    <w:rPr>
      <w:rFonts w:ascii="Arial" w:hAnsi="Arial" w:cs="Arial"/>
    </w:rPr>
  </w:style>
  <w:style w:type="paragraph" w:customStyle="1" w:styleId="f13psakdin2e">
    <w:name w:val="f13psakdin2e"/>
    <w:basedOn w:val="a"/>
    <w:pPr>
      <w:spacing w:before="100" w:beforeAutospacing="1"/>
      <w:ind w:left="851" w:right="851"/>
      <w:jc w:val="both"/>
    </w:pPr>
    <w:rPr>
      <w:rFonts w:ascii="Arial" w:hAnsi="Arial" w:cs="Arial"/>
    </w:rPr>
  </w:style>
  <w:style w:type="paragraph" w:customStyle="1" w:styleId="f13psakdin3e">
    <w:name w:val="f13psakdin3e"/>
    <w:basedOn w:val="a"/>
    <w:pPr>
      <w:spacing w:before="100" w:beforeAutospacing="1"/>
      <w:ind w:left="1276" w:right="851"/>
      <w:jc w:val="both"/>
    </w:pPr>
    <w:rPr>
      <w:rFonts w:ascii="Arial" w:hAnsi="Arial" w:cs="Arial"/>
    </w:rPr>
  </w:style>
  <w:style w:type="paragraph" w:customStyle="1" w:styleId="f13psakdin4e">
    <w:name w:val="f13psakdin4e"/>
    <w:basedOn w:val="a"/>
    <w:pPr>
      <w:spacing w:before="100" w:beforeAutospacing="1"/>
      <w:ind w:left="1701" w:right="851"/>
      <w:jc w:val="both"/>
    </w:pPr>
    <w:rPr>
      <w:rFonts w:ascii="Arial" w:hAnsi="Arial" w:cs="Arial"/>
    </w:rPr>
  </w:style>
  <w:style w:type="paragraph" w:customStyle="1" w:styleId="caption">
    <w:name w:val="caption"/>
    <w:basedOn w:val="a"/>
    <w:pPr>
      <w:shd w:val="clear" w:color="auto" w:fill="EEE8D4"/>
      <w:spacing w:before="100" w:beforeAutospacing="1" w:after="100" w:afterAutospacing="1"/>
      <w:jc w:val="right"/>
      <w:textAlignment w:val="top"/>
    </w:pPr>
  </w:style>
  <w:style w:type="paragraph" w:customStyle="1" w:styleId="value">
    <w:name w:val="value"/>
    <w:basedOn w:val="a"/>
    <w:pPr>
      <w:shd w:val="clear" w:color="auto" w:fill="FAF6EB"/>
      <w:bidi/>
      <w:spacing w:before="100" w:beforeAutospacing="1" w:after="100" w:afterAutospacing="1"/>
    </w:pPr>
  </w:style>
  <w:style w:type="paragraph" w:customStyle="1" w:styleId="msodel0">
    <w:name w:val="msodel"/>
    <w:basedOn w:val="a"/>
    <w:pPr>
      <w:spacing w:before="100" w:beforeAutospacing="1" w:after="100" w:afterAutospacing="1"/>
    </w:pPr>
    <w:rPr>
      <w:vanish/>
    </w:rPr>
  </w:style>
  <w:style w:type="paragraph" w:customStyle="1" w:styleId="footnotetext">
    <w:name w:val="footnotetext"/>
    <w:basedOn w:val="a"/>
    <w:pPr>
      <w:bidi/>
      <w:spacing w:before="100" w:beforeAutospacing="1" w:after="100" w:afterAutospacing="1"/>
      <w:ind w:left="450" w:right="900"/>
      <w:jc w:val="both"/>
    </w:pPr>
    <w:rPr>
      <w:rFonts w:ascii="Arial" w:hAnsi="Arial" w:cs="Arial"/>
      <w:sz w:val="20"/>
      <w:szCs w:val="20"/>
    </w:rPr>
  </w:style>
  <w:style w:type="paragraph" w:customStyle="1" w:styleId="f27s1">
    <w:name w:val="f27s1"/>
    <w:basedOn w:val="a"/>
    <w:pPr>
      <w:spacing w:before="100" w:beforeAutospacing="1" w:after="100" w:afterAutospacing="1"/>
      <w:ind w:right="283"/>
      <w:jc w:val="center"/>
    </w:pPr>
  </w:style>
  <w:style w:type="paragraph" w:customStyle="1" w:styleId="f27textno0">
    <w:name w:val="f27textno0"/>
    <w:basedOn w:val="a"/>
    <w:pPr>
      <w:spacing w:before="100" w:beforeAutospacing="1" w:after="100" w:afterAutospacing="1"/>
      <w:ind w:right="707" w:hanging="424"/>
    </w:pPr>
  </w:style>
  <w:style w:type="paragraph" w:customStyle="1" w:styleId="f27textno1">
    <w:name w:val="f27textno1"/>
    <w:basedOn w:val="a"/>
    <w:pPr>
      <w:spacing w:before="100" w:beforeAutospacing="1" w:after="100" w:afterAutospacing="1"/>
      <w:ind w:right="1133" w:hanging="424"/>
    </w:pPr>
  </w:style>
  <w:style w:type="paragraph" w:customStyle="1" w:styleId="f27textno2">
    <w:name w:val="f27textno2"/>
    <w:basedOn w:val="a"/>
    <w:pPr>
      <w:spacing w:before="100" w:beforeAutospacing="1" w:after="100" w:afterAutospacing="1"/>
      <w:ind w:right="1558" w:hanging="424"/>
    </w:pPr>
  </w:style>
  <w:style w:type="paragraph" w:customStyle="1" w:styleId="f27textno3">
    <w:name w:val="f27textno3"/>
    <w:basedOn w:val="a"/>
    <w:pPr>
      <w:spacing w:before="100" w:beforeAutospacing="1" w:after="100" w:afterAutospacing="1"/>
      <w:ind w:right="1983" w:hanging="425"/>
    </w:pPr>
  </w:style>
  <w:style w:type="paragraph" w:customStyle="1" w:styleId="f27textdblno0">
    <w:name w:val="f27textdblno0"/>
    <w:basedOn w:val="a"/>
    <w:pPr>
      <w:spacing w:before="100" w:beforeAutospacing="1" w:after="100" w:afterAutospacing="1"/>
      <w:ind w:right="1133" w:hanging="850"/>
    </w:pPr>
  </w:style>
  <w:style w:type="paragraph" w:customStyle="1" w:styleId="f27textdblno1">
    <w:name w:val="f27textdblno1"/>
    <w:basedOn w:val="a"/>
    <w:pPr>
      <w:spacing w:before="100" w:beforeAutospacing="1" w:after="100" w:afterAutospacing="1"/>
      <w:ind w:right="1558" w:hanging="849"/>
    </w:pPr>
  </w:style>
  <w:style w:type="paragraph" w:customStyle="1" w:styleId="f27textdblno2">
    <w:name w:val="f27textdblno2"/>
    <w:basedOn w:val="a"/>
    <w:pPr>
      <w:spacing w:before="100" w:beforeAutospacing="1" w:after="100" w:afterAutospacing="1"/>
      <w:ind w:right="1983" w:hanging="849"/>
    </w:pPr>
  </w:style>
  <w:style w:type="paragraph" w:customStyle="1" w:styleId="f27quote0">
    <w:name w:val="f27quote0"/>
    <w:basedOn w:val="a"/>
    <w:pPr>
      <w:spacing w:before="100" w:beforeAutospacing="1" w:after="100" w:afterAutospacing="1"/>
      <w:ind w:right="849"/>
    </w:pPr>
  </w:style>
  <w:style w:type="paragraph" w:customStyle="1" w:styleId="f27quoteno0">
    <w:name w:val="f27quoteno0"/>
    <w:basedOn w:val="a"/>
    <w:pPr>
      <w:spacing w:before="100" w:beforeAutospacing="1" w:after="100" w:afterAutospacing="1"/>
      <w:ind w:right="1416" w:hanging="424"/>
    </w:pPr>
  </w:style>
  <w:style w:type="paragraph" w:customStyle="1" w:styleId="f27quoteno1">
    <w:name w:val="f27quoteno1"/>
    <w:basedOn w:val="a"/>
    <w:pPr>
      <w:spacing w:before="100" w:beforeAutospacing="1" w:after="100" w:afterAutospacing="1"/>
      <w:ind w:right="1841" w:hanging="424"/>
    </w:pPr>
  </w:style>
  <w:style w:type="paragraph" w:customStyle="1" w:styleId="f27quoteno2">
    <w:name w:val="f27quoteno2"/>
    <w:basedOn w:val="a"/>
    <w:pPr>
      <w:spacing w:before="100" w:beforeAutospacing="1" w:after="100" w:afterAutospacing="1"/>
      <w:ind w:right="2267" w:hanging="424"/>
    </w:pPr>
  </w:style>
  <w:style w:type="paragraph" w:customStyle="1" w:styleId="f27quoteno3">
    <w:name w:val="f27quoteno3"/>
    <w:basedOn w:val="a"/>
    <w:pPr>
      <w:spacing w:before="100" w:beforeAutospacing="1" w:after="100" w:afterAutospacing="1"/>
      <w:ind w:right="2692" w:hanging="424"/>
    </w:pPr>
  </w:style>
  <w:style w:type="paragraph" w:customStyle="1" w:styleId="f27quotedblno0">
    <w:name w:val="f27quotedblno0"/>
    <w:basedOn w:val="a"/>
    <w:pPr>
      <w:spacing w:before="100" w:beforeAutospacing="1" w:after="100" w:afterAutospacing="1"/>
      <w:ind w:right="1416" w:hanging="849"/>
    </w:pPr>
  </w:style>
  <w:style w:type="paragraph" w:customStyle="1" w:styleId="f27quotedblno1">
    <w:name w:val="f27quotedblno1"/>
    <w:basedOn w:val="a"/>
    <w:pPr>
      <w:spacing w:before="100" w:beforeAutospacing="1" w:after="100" w:afterAutospacing="1"/>
      <w:ind w:right="2261" w:hanging="849"/>
    </w:pPr>
  </w:style>
  <w:style w:type="paragraph" w:customStyle="1" w:styleId="f27quotedblno2">
    <w:name w:val="f27quotedblno2"/>
    <w:basedOn w:val="a"/>
    <w:pPr>
      <w:spacing w:before="100" w:beforeAutospacing="1" w:after="100" w:afterAutospacing="1"/>
      <w:ind w:right="2267" w:hanging="849"/>
    </w:pPr>
  </w:style>
  <w:style w:type="paragraph" w:customStyle="1" w:styleId="f27quotedblno3">
    <w:name w:val="f27quotedblno3"/>
    <w:basedOn w:val="a"/>
    <w:pPr>
      <w:spacing w:before="100" w:beforeAutospacing="1" w:after="100" w:afterAutospacing="1"/>
      <w:ind w:right="2692" w:hanging="849"/>
    </w:pPr>
  </w:style>
  <w:style w:type="paragraph" w:customStyle="1" w:styleId="f27quoteh0">
    <w:name w:val="f27quoteh0"/>
    <w:basedOn w:val="a"/>
    <w:pPr>
      <w:spacing w:before="100" w:beforeAutospacing="1" w:after="100" w:afterAutospacing="1"/>
      <w:ind w:right="566"/>
    </w:pPr>
  </w:style>
  <w:style w:type="character" w:styleId="a3">
    <w:name w:val="footnote reference"/>
    <w:basedOn w:val="a0"/>
    <w:uiPriority w:val="99"/>
    <w:semiHidden/>
    <w:unhideWhenUsed/>
    <w:rPr>
      <w:sz w:val="14"/>
      <w:szCs w:val="14"/>
      <w:vertAlign w:val="superscript"/>
    </w:rPr>
  </w:style>
  <w:style w:type="character" w:customStyle="1" w:styleId="h">
    <w:name w:val="h"/>
    <w:basedOn w:val="a0"/>
    <w:rPr>
      <w:vanish/>
      <w:webHidden w:val="0"/>
      <w:color w:val="FFFFFF"/>
      <w:specVanish w:val="0"/>
    </w:rPr>
  </w:style>
  <w:style w:type="character" w:customStyle="1" w:styleId="f1">
    <w:name w:val="f1"/>
    <w:basedOn w:val="a0"/>
    <w:rPr>
      <w:vanish/>
      <w:webHidden w:val="0"/>
      <w:color w:val="FFFFFF"/>
      <w:specVanish w:val="0"/>
    </w:rPr>
  </w:style>
  <w:style w:type="character" w:customStyle="1" w:styleId="f14">
    <w:name w:val="f14"/>
    <w:basedOn w:val="a0"/>
    <w:rPr>
      <w:vanish/>
      <w:webHidden w:val="0"/>
      <w:color w:val="FFFFFF"/>
      <w:specVanish w:val="0"/>
    </w:rPr>
  </w:style>
  <w:style w:type="character" w:customStyle="1" w:styleId="brief">
    <w:name w:val="brief"/>
    <w:basedOn w:val="a0"/>
    <w:rPr>
      <w:vanish/>
      <w:webHidden w:val="0"/>
      <w:color w:val="FFFFFF"/>
      <w:specVanish w:val="0"/>
    </w:rPr>
  </w:style>
  <w:style w:type="character" w:customStyle="1" w:styleId="taktzirtitle">
    <w:name w:val="taktzir_title"/>
    <w:basedOn w:val="a0"/>
    <w:rPr>
      <w:vanish/>
      <w:webHidden w:val="0"/>
      <w:color w:val="FFFFFF"/>
      <w:specVanish w:val="0"/>
    </w:rPr>
  </w:style>
  <w:style w:type="character" w:customStyle="1" w:styleId="f11">
    <w:name w:val="f11"/>
    <w:basedOn w:val="a0"/>
    <w:rPr>
      <w:rFonts w:cs="David" w:hint="cs"/>
    </w:rPr>
  </w:style>
  <w:style w:type="character" w:customStyle="1" w:styleId="f261">
    <w:name w:val="f261"/>
    <w:basedOn w:val="a0"/>
    <w:rPr>
      <w:rFonts w:cs="David" w:hint="cs"/>
      <w:b/>
      <w:bCs/>
      <w:sz w:val="40"/>
      <w:szCs w:val="40"/>
    </w:rPr>
  </w:style>
  <w:style w:type="character" w:customStyle="1" w:styleId="f27p1">
    <w:name w:val="f27p1"/>
    <w:basedOn w:val="a0"/>
    <w:rPr>
      <w:b/>
      <w:bCs/>
    </w:rPr>
  </w:style>
  <w:style w:type="character" w:customStyle="1" w:styleId="f27sd1">
    <w:name w:val="f27sd1"/>
    <w:basedOn w:val="a0"/>
    <w:rPr>
      <w:rFonts w:cs="Guttman Adii" w:hint="cs"/>
      <w:sz w:val="28"/>
      <w:szCs w:val="28"/>
    </w:rPr>
  </w:style>
  <w:style w:type="character" w:customStyle="1" w:styleId="f30">
    <w:name w:val="f30"/>
    <w:basedOn w:val="a0"/>
    <w:rPr>
      <w:rFonts w:cs="David" w:hint="cs"/>
      <w:u w:val="single"/>
    </w:rPr>
  </w:style>
  <w:style w:type="character" w:customStyle="1" w:styleId="eng">
    <w:name w:val="eng"/>
    <w:basedOn w:val="a0"/>
    <w:rPr>
      <w:rFonts w:ascii="Arial" w:hAnsi="Arial" w:cs="Arial" w:hint="default"/>
      <w:b/>
      <w:bCs/>
    </w:rPr>
  </w:style>
  <w:style w:type="character" w:customStyle="1" w:styleId="f13">
    <w:name w:val="f13"/>
    <w:basedOn w:val="a0"/>
  </w:style>
  <w:style w:type="paragraph" w:customStyle="1" w:styleId="f13psakdin0">
    <w:name w:val="f13psakdin0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1404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אמיתי</dc:creator>
  <cp:lastModifiedBy>אמיתי</cp:lastModifiedBy>
  <cp:revision>2</cp:revision>
  <dcterms:created xsi:type="dcterms:W3CDTF">2013-05-03T05:55:00Z</dcterms:created>
  <dcterms:modified xsi:type="dcterms:W3CDTF">2013-05-03T05:55:00Z</dcterms:modified>
</cp:coreProperties>
</file>